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85" w:rsidRPr="00616C00" w:rsidRDefault="00784F85" w:rsidP="006C7DA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00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784F85" w:rsidRPr="00616C00" w:rsidRDefault="00784F85" w:rsidP="006C7DA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00">
        <w:rPr>
          <w:rFonts w:ascii="Times New Roman" w:hAnsi="Times New Roman" w:cs="Times New Roman"/>
          <w:b/>
          <w:bCs/>
          <w:sz w:val="28"/>
          <w:szCs w:val="28"/>
        </w:rPr>
        <w:t>решением Совета Адвокатской палаты</w:t>
      </w:r>
    </w:p>
    <w:p w:rsidR="00784F85" w:rsidRPr="00616C00" w:rsidRDefault="00784F85" w:rsidP="006C7DA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00">
        <w:rPr>
          <w:rFonts w:ascii="Times New Roman" w:hAnsi="Times New Roman" w:cs="Times New Roman"/>
          <w:b/>
          <w:bCs/>
          <w:sz w:val="28"/>
          <w:szCs w:val="28"/>
        </w:rPr>
        <w:t>Пензенской области</w:t>
      </w:r>
    </w:p>
    <w:p w:rsidR="00784F85" w:rsidRDefault="00784F85" w:rsidP="006C7DA9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C00">
        <w:rPr>
          <w:rFonts w:ascii="Times New Roman" w:hAnsi="Times New Roman" w:cs="Times New Roman"/>
          <w:b/>
          <w:bCs/>
          <w:sz w:val="28"/>
          <w:szCs w:val="28"/>
        </w:rPr>
        <w:t>от  16 февраля 2018 г.</w:t>
      </w:r>
    </w:p>
    <w:p w:rsidR="00784F85" w:rsidRPr="00BF755F" w:rsidRDefault="00784F85" w:rsidP="006C7DA9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BF755F">
        <w:rPr>
          <w:rFonts w:ascii="Times New Roman" w:hAnsi="Times New Roman" w:cs="Times New Roman"/>
          <w:sz w:val="28"/>
          <w:szCs w:val="28"/>
        </w:rPr>
        <w:t>(с изм.от.30.05.2018г.)</w:t>
      </w:r>
    </w:p>
    <w:p w:rsidR="00784F85" w:rsidRPr="00616C00" w:rsidRDefault="00784F85" w:rsidP="0083091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F85" w:rsidRPr="00616C00" w:rsidRDefault="00784F85" w:rsidP="00BB6F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84F85" w:rsidRPr="00616C00" w:rsidRDefault="00784F85" w:rsidP="00BB6F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F85" w:rsidRPr="00616C00" w:rsidRDefault="00784F85" w:rsidP="00BB6F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"Об оказании субсидируемой юридической помощи</w:t>
      </w:r>
    </w:p>
    <w:p w:rsidR="00784F85" w:rsidRPr="00616C00" w:rsidRDefault="00784F85" w:rsidP="00BB6F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адвокатами Адвокатской палаты Пензенской области,</w:t>
      </w:r>
    </w:p>
    <w:p w:rsidR="00784F85" w:rsidRPr="00616C00" w:rsidRDefault="00784F85" w:rsidP="00BB6F7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6C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участвующими в качестве защитника в уголовном судопроизводстве по назначению органов дознания, органов предварительного следствия или суда в порядке статей 50 и 51 Уголовно-процессуального кодекса Российской Федерации, в качестве представителя в гражданском судопроизводстве по назначению суда в порядке статьи 50 Гражданского процессуального кодекса Российской Федерации и статьи 54 Кодекса административного судопроизводства Российской Федерации".</w:t>
      </w:r>
    </w:p>
    <w:p w:rsidR="00784F85" w:rsidRPr="00616C00" w:rsidRDefault="00784F85" w:rsidP="00BB6F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F85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sz w:val="30"/>
          <w:szCs w:val="30"/>
          <w:lang w:eastAsia="ru-RU"/>
        </w:rPr>
        <w:t>1. Настоящее Положение оказания субсидируемой юридической помощи адвокатами Адвокатской палаты Пензенской области, участвующими в качестве защитника в уголовном судопроизводстве по назначению органов дознания, органов предварительного следствия или суда в порядке статей 50 и 51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DE4D39">
        <w:rPr>
          <w:rFonts w:ascii="Times New Roman" w:hAnsi="Times New Roman" w:cs="Times New Roman"/>
          <w:sz w:val="30"/>
          <w:szCs w:val="30"/>
          <w:lang w:eastAsia="ru-RU"/>
        </w:rPr>
        <w:t>Уголовно-процессуального кодекса Российской Федерации, в качестве представителя в гражданском судопроизводстве по назначению суда в порядке статьи 50 Гражданского процессуального кодекса Российской Федерации и статьи 54 Кодекса административного судопроизводства Российской Федерации (далее - «Положение»), устанавливается в целях реализации положений Федерального закона «Об адвокатской деятельности и адвокатуре в Российской Федерации» от 31.05.2002 № 63-ФЗ (пп. 5 ст. 31 в ред. Федерального закона от 29.07.2017 N 269-ФЗ).</w:t>
      </w:r>
    </w:p>
    <w:p w:rsidR="00784F85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sz w:val="30"/>
          <w:szCs w:val="30"/>
        </w:rPr>
        <w:t>В соответствии с п.4 Порядка назначения адвокатов в качестве защитников в уголовном судопроизводстве, утвержденного решением Совета ФПА РФ от 05.10.2017г. избрать смешанный тип распределения поручений на защиту по назначению при одновременном использовании нескольких способов распределения либо их элементов.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(абзац введен решением Совета АППО 30.05.2018г.)</w:t>
      </w: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84F85" w:rsidRPr="006F3B1C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2. Для включения в систему оказания субсидируемой юридической помощи в качестве защитника в уголовном судопроизводстве по назначению органов дознания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органов предварительного следствия или суда в порядке статей 50 и 51 Уголовно-процессуального кодекса Российской Федерации, в качестве представителя в гражданском судопроизводстве по назначению суда в порядке статьи 50 Гражданского процессуального кодекса Российской Федерации и статьи 54  Кодекса административного судопроизводства Российской Федерации адвокат подает в Совет адвокатской палаты адвокатов Пензенской области заявление установленной формы (Приложение № 2).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3. На основании заявлений, поданных в соответствии с пунктом 2 Положения, составляется Список адвокатов, включенных в систему оказания субсидируемой юридической помощи в качестве защитника в уголовном судопроизводстве по назначению органов дознания, органов предварительного следствия или суда в порядке статей 50 и 51 Уголовно-процессуального кодекса Российской Федерации и в качестве представителя в гражданском судопроизводстве по назначению суда, в порядке статьи 50 Гражданского процессуального кодекса Российской Федерации и статьи 54 Кодекса административного судопроизводства Российской Федерации (далее по тексту «Список»).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540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4. Обязательными условиями включения адвоката в Список являются отсутствие у адвоката дисциплинарного взыскания по основаниям неквалифицированного оказания юридической помощи доверителю, нарушения Правил оказания субсидируемой юридической помощи, неуплаты членских взносов на общие нужды адвокатской палаты, не выполнение адвокатом Программы повышения квалификации и отсутствие задолженности по отчислениям на общие нужды адвокатской палаты.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5. Список утверждается Советом Палаты.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7314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6. Список подлежит опубликованию на сайте адвокатов палаты Пензенской области.</w:t>
      </w:r>
    </w:p>
    <w:p w:rsidR="00784F85" w:rsidRPr="006F3B1C" w:rsidRDefault="00784F85" w:rsidP="007314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540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7. Организация исполнения требований органов дознания, органов предварительного следствия и судов, распределение требований среди адвокатов, включенных в Список, контроль за надлежащим исполнением требований адвокатами возлагается на координаторов Центра субсидируемой юридической помощи Адвокатской палаты Пензенской области.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8. Требования органов дознания, предварительного следствия и судов о назначении адвоката в качестве защитника в уголовном судопроизводстве в порядке статей 50 и 51 Уголовно-процессуального кодекса Российской Федерации, а также требования судов о назначении адвоката в качестве представителя в гражданском судопроизводстве в порядке статьи 50 Гражданского процессуального кодекса Российской Федерации и статьи 54 Кодекса административного судопроизводства Российской Федерации, направляются в Центр субсидируемой юридической помощи Адвокатской палаты Пензенской области в </w:t>
      </w:r>
      <w:r w:rsidRPr="00DE4D3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письменном виде почтовой корреспонденцией, нарочным, телеграфной связью, факсимильной связью, электронной почтой, телефонограммой.</w:t>
      </w: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9. Требование должно содержать следующие сведения: номер дела, фамилия, имя, отчество, процессуальное положение лица, которому требуется защитник (представитель), краткая правовая квалификация ситуации (статья Уголовного кодекса Российской Федерации или предмет гражданского спора с указанием его сторон), характер процессуального действия, для участия в котором требуется адвокат, дата, время и место его проведения, фамилия, инициалы и должность лица, направившего требование, номер телефона контакта.</w:t>
      </w: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10. Требование должно поступить в Центр субсидируемой юридической помощи в срок не позднее 24 часов до начала проведения следственного действия и не позднее 5-ти суток до дня судебного заседания, в которых требуется участие адвоката.</w:t>
      </w: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sz w:val="30"/>
          <w:szCs w:val="30"/>
          <w:lang w:eastAsia="ru-RU"/>
        </w:rPr>
        <w:t>11. Требования Центром субсидируемой юридической помощи принимаются в рабочие дни с 09:00 до 18:00 часов (в пятницу с 09:00 до 17:00 часов) с перерывом на обед с 13:00 до 14:00 часов.</w:t>
      </w:r>
    </w:p>
    <w:p w:rsidR="00784F85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sz w:val="30"/>
          <w:szCs w:val="30"/>
        </w:rPr>
        <w:t>Дежурство в ночное время (с 22часов до 8 часов утра), осуществляется адвокатами изъявившими желание в письменной форме принять в нем участие. Список указанных лиц с указанием номеров телефонов утверждается решением Совета палаты и направляется для сведения в правоохранительные органы. Адвокат, принявший участие в ночном дежурстве, обязан в 3-х дневный срок довести об этом до сведения работников Центра субсидируемой юридической помощи. Контроль за исполнением данного решения возложен на первого вице-президента Адвокатской палаты Пензенской области.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(абзац введен решением Совета АППО 30.05.2018г.)</w:t>
      </w: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DE4D39" w:rsidRDefault="00784F85" w:rsidP="00DE4D39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DE4D39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12. В исключительных случаях необходимости участия адвоката в неотложных процессуальных или следственных действиях, которые невозможно запланировать заранее (задержание подозреваемого, явка лица с повинной и т.п.) требование направляется в Центр субсидируемой юридической помощи телефонограммой или иным указанным выше способом с указанием о необходимости срочного исполнения. Такое требование координатором Центра субсидируемой юридической помощи помечается как срочное и подлежит исполнению безотлагательно. Срочные требования на участие адвоката в неотложных процессуальных действиях принимаются координатором Центра субсидируемой юридической помощи до 22 часов, в том числе в выходные и праздничные дни.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13. В случае систематического направления срочных требований в порядке пункта 12 настоящего Положения для участия адвоката в процессуальных действиях, которые фактически не являются неотложными и должны быть запланированы заранее, Совет Адвокатской палаты Пензенской области может своим решением приостановить действие пункта 12 настоящего Положения на территории отдельного района или в отношении определенного органа дознания, органа предварительного следствия или суда, допускающего нарушения.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14. Требования органов дознания, предварительного следствия и судов о назначении адвоката в качестве защитника в уголовном судопроизводстве в порядке статей 50 и 51 Уголовно-процессуального кодекса Российской Федерации, а также требования судов о назначении адвоката в качестве представителя в гражданском судопроизводстве в порядке статьи 50 Гражданского процессуального кодекса Российской Федерации и статьи 54 Кодекса административного судопроизводства Российской Федерации подлежат направлению:</w:t>
      </w: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• почтовой, телеграфной корреспонденцией или нарочным – по адресу: 440018, г.Пенза, ул. Суворова, 172 «А», Центр субсидируемой юридической помощи Адвокатской палаты Пензенской области;</w:t>
      </w: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• факсимильной связью на телефонный номер </w:t>
      </w:r>
      <w:r w:rsidRPr="006F3B1C">
        <w:rPr>
          <w:rFonts w:ascii="Times New Roman" w:hAnsi="Times New Roman" w:cs="Times New Roman"/>
          <w:sz w:val="30"/>
          <w:szCs w:val="30"/>
          <w:lang w:eastAsia="ru-RU"/>
        </w:rPr>
        <w:t>(8412) 42-27-33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• телефонограммой на единый телефонный номер </w:t>
      </w:r>
      <w:r w:rsidRPr="006F3B1C">
        <w:rPr>
          <w:rFonts w:ascii="Times New Roman" w:hAnsi="Times New Roman" w:cs="Times New Roman"/>
          <w:sz w:val="30"/>
          <w:szCs w:val="30"/>
          <w:lang w:eastAsia="ru-RU"/>
        </w:rPr>
        <w:t xml:space="preserve">(8412) 42-27-33,  </w:t>
      </w: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8-937-430-81-22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4F85" w:rsidRPr="006F3B1C" w:rsidRDefault="00784F85" w:rsidP="006F1CD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• электронной почтой – на единый электронный адрес -  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appo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z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@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yandex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val="en-US" w:eastAsia="ru-RU"/>
        </w:rPr>
        <w:t>ru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15. При направлении требований об участии адвоката по назначению в уголовном или гражданском судопроизводстве следует руководствоваться положениями процессуального законодательства, что лицо, нуждающееся в обеспечении бесплатной для него юридической помощью, не имеет права на приглашение персонально выбранного адвоката.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Факт присвоения статуса адвоката в порядке, предусмотренном Федеральным законом «Об адвокатской деятельности и адвокатуре в Российской Федерации», возможность контроля со стороны органов адвокатской палаты в рамках дисциплинарного производства за соблюдением адвокатом законодательства об адвокатуре и норм профессиональной этики адвоката, а также контроль со стороны органов адвокатской палаты за систематическим повышением адвокатами профессионального уровня является достаточным обоснованием, что каждый адвокат, осуществляя профессиональную деятельность, оказывает квалифицированную юридическую помощь в соответствии требованиями Конституции Российской Федерации.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16. Координатор Центра субсидируемой юридической помощи Адвокатской палаты Пензенской области при получении требования органа дознания, органа предварительного следствия или суда в целях своевременного обеспечения граждан юридической помощью и равномерности распределения требований среди адвокатов, незамедлительно распределяет его среди адвокатов, включенных в Список.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17. Координатор Центра субсидируемой юридической помощи телефонным звонком доводит информацию до адвоката о распределении требования с указанием его реквизитов (номер и дата) для заполнения ордера, получает от адвоката подтверждение о принятии требования к исполнению или сообщение о невозможности исполнения.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18. На координаторов Центра субсидируемой юридической помощи возлагается обязанность контроля за соблюдением адвокатами настоящего Положения участия в оказании субсидируемой юридической помощи по назначению органов дознания, органов предварительного следствия и судов.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19. Координаторы Центра субсидируемой юридической помощи несут персональную ответственность за надлежащую организацию исполнения требований органов дознания, органов предварительного следствия и судов в соответствии с настоящим Положением.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20. В случае неисполнения или ненадлежащего исполнения координатором Центра субсидируемой юридической помощи обязанностей, предусмотренных настоящим Положением, заинтересованные лица имеют право уведомить об этом Совет Адвокатской палаты Пензенской области для проведения служебной проверки.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540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21. Все телефонные разговоры по телефонному номеру (8412) 42-27-33 фиксируются с помощью технических средств аудиозаписи. Файлы записи телефонных разговоров хранятся в Центре субсидируемой юридической помощи в течение 6 месяцев и могут быть выданы заинтересованным лицам в целях контроля за исполнением настоящих Правил или в рамках дисциплинарного производства.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22. Каждый адвокат, включенный в Список, должен быть обеспечен собственными силами и за свой счет мобильной (сотовой) телефонной связью и принимать меры по обеспечению доступности абонента в режиме телефонного вызова или SMS-сообщения.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8F4B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23. По вопросам исполнения требований органов дознания, органов предварительного следствия и суда, адвокаты осуществляют связь с координатором по телефонному номеру </w:t>
      </w:r>
      <w:r w:rsidRPr="006F3B1C">
        <w:rPr>
          <w:rFonts w:ascii="Times New Roman" w:hAnsi="Times New Roman" w:cs="Times New Roman"/>
          <w:sz w:val="30"/>
          <w:szCs w:val="30"/>
          <w:lang w:eastAsia="ru-RU"/>
        </w:rPr>
        <w:t>(8412) 42-27-33,  8-937-430-81-22.</w:t>
      </w: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784F85" w:rsidRPr="006F3B1C" w:rsidRDefault="00784F85" w:rsidP="008F4B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24. При наличии уважительных причин (заболевание, отпуск и т.п.) адвокат вправе обратиться в Центр субсидируемой юридической помощи Адвокатской палаты Пензенской области с заявлением о временном приостановлении участия в системе субсидируемой юридической помощи.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25. Факт отказа от принятия адвокатом требования либо непринятия телефонного вызова фиксируется координатором Центра субсидируемой юридической помощи.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26. Сведения о систематических необоснованных отказах в принятии требований направляются в Совет Адвокатской палаты Пензенской области для решения вопроса об исключении адвоката из Списка. Адвокат вправе обратиться с заявлением о включении его в Список при соблюдении условий, указанных в п. 4 настоящего Положения.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27. При возникновении уважительных причин, препятствующих исполнению адвокатом принятого требования, и не достижения с органом, направившим требование, соглашения о переносе даты участия в деле, адвокат обязан заблаговременно уведомить Центр субсидируемой юридической помощи о необходимости замены его другим адвокатом по назначению.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28. Адвокат, вступивший в дело по соглашению, обязан незамедлительно уведомить об этом адвоката, исполняющего обязанности защитника того же лица по назначению.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5409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29. Адвокат, вступивший в дело по требованию органа дознания, органа предварительного следствия или суда, обязан выяснить факт участия в деле адвоката по соглашению. При получении сведений об участии в деле адвоката по соглашению адвокат обязан проверить соблюдение органом, направившим требование, процессуальных норм о привлечении к делу адвоката по назначению, при наличии к тому правовых оснований, заявить ходатайство об устранении нарушений закона и недопустимости доказательств, полученных с его нарушением. Адвокат по назначению не может отказаться от исполнения полученного требования, обязан продолжить выполнение возложенной на него процессуальной функции, принимая все предусмотренные законом меры для устранения имеющихся нарушений.</w:t>
      </w:r>
    </w:p>
    <w:p w:rsidR="00784F85" w:rsidRPr="006F3B1C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30. Адвокат, принявший к исполнению требование, несет персональную ответственность за своевременность его исполнения, качество оказания юридической помощи и выполнение иных положений, предусмотренных настоящим Положением.</w:t>
      </w:r>
    </w:p>
    <w:p w:rsidR="00784F85" w:rsidRPr="006F3B1C" w:rsidRDefault="00784F85" w:rsidP="006F3B1C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31. Нарушение установленных настоящим Положением правил оказания субсидируемой юридической помощи адвокатом, участвующими в качестве защитника в уголовном судопроизводстве по назначению органов дознания, органов предварительного следствия или суда в порядке статей 50 и 51 Уголовно-процессуального кодекса Российской Федерации, в качестве представителя в гражданском судопроизводстве по назначению суда в порядке статьи 50 Гражданского процессуального кодекса Российской Федерации и статьи 54 Кодекса административного судопроизводства Российской Федерации, принятие требования в нарушение настоящего Положения, оказание юридической помощи доверителю ненадлежащего качества являются основаниями для решения вопроса о возбуждении в отношении адвоката дисциплинарного производства.</w:t>
      </w:r>
    </w:p>
    <w:p w:rsidR="00784F85" w:rsidRPr="006F3B1C" w:rsidRDefault="00784F85" w:rsidP="006F3B1C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32. Участие адвоката в процессуальных действиях оформляется ордером, выдаваемым адвокатским образованием по форме, установленной Приказом Министерства юстиции Российской Федерации от 10.04.2013 № 47 «Об утверждении формы ордера». Ордер должен соответствовать методическим рекомендациям, утвержденным Советом Федеральной палаты адвокатов России от 04.12.2017г., иметь оттиск штампа красного цвета с подписью первого вице-президента Адвокатской палаты Пензенской области. </w:t>
      </w:r>
    </w:p>
    <w:p w:rsidR="00784F85" w:rsidRPr="006F3B1C" w:rsidRDefault="00784F85" w:rsidP="006F3B1C">
      <w:pPr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33. При постановке на ордер оттиска штампа вице-президента Адвокатской палаты Пензенской области, лицом, уполномоченным на это, производится регистрация ордеров.</w:t>
      </w: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34. В целях надлежащего учета участия адвокатов в делах по назначению органов дознания, органов предварительного следствия и суда руководителями адвокатских образований ведется раздельный учет выдаваемых адвокатам ордеров для участия в делах по требованиям и ордеров для участия в делах по соглашению. Руководители адвокатских образований несут ответственность по контролю и регистрации ордеров, выданных для участия в делах по назначению органов дознания, органов предварительного следствия и суда.</w:t>
      </w: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35. Обязанность по контролю за работой координаторов, за исполнением настоящего Положения, а также за качеством оказания адвокатами субсидируемой юридической помощи по назначению органов дознания, органов предварительного следствия и судов возлагается на Совет Адвокатской палаты Пензенской области путем истребования для проверки материалов адвокатских производств по распределенным требованиям. </w:t>
      </w: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36. Первый вице-президент адвокатской палаты наделяется полномочиями осуществлять проверку работы координаторов, проверку соблюдения настоящего Положения адвокатами, проверку качества работы адвокатов, с правом истребования адвокатских производств. В случае выявления нарушении настоящего Положения первый вице-президент вносит представление на имя президента адвокатской палаты.  </w:t>
      </w: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37. При необходимости назначения дополнительного количества адвокатов, оказывающих юридическую помощь на территории отдельного района, первый вице-президент адвокатской палаты назначает для оказания юридической помощи адвокатов, других районов.</w:t>
      </w: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38. Адвокаты, оказывающие юридическую помощь по назначению органов дознания, органов предварительного следствия и судов, обязаны вести учет ордеров, используемых по исполнению поручений. По требованию Президента, Первого вице-президента адвокаты обязаны представлять отчет, и при необходимости корешки ордеров, для проверки. </w:t>
      </w: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784F85" w:rsidRPr="006F3B1C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6F3B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39. Нарушение установленного настоящим Положением порядка оказания юридической помощи по назначению органов дознания, органов предварительного следствия и суда, в том числе необоснованный отказ от принятия  исполнению требований, принятие требований в нарушение установленного порядка, оказания доверителю юридической помощи ненадлежащего качества, использование в делах по назначению ордеров не имеющих специального штампа вице-президента, не представление отчетов и при необходимости корешков ордеров, а также иные нарушения являются основанием для возбуждения дисциплинарного производства и влекут применение мер дисциплинарного воздействия вплоть до прекращения статуса адвоката. </w:t>
      </w:r>
    </w:p>
    <w:p w:rsidR="00784F85" w:rsidRPr="00616C00" w:rsidRDefault="00784F85" w:rsidP="006F3B1C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F85" w:rsidRPr="00616C00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4F85" w:rsidRPr="00616C00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3.4pt;width:69pt;height:45pt;z-index:-251658240">
            <v:imagedata r:id="rId7" o:title="" gain="273067f" blacklevel="-13763f"/>
          </v:shape>
        </w:pict>
      </w:r>
      <w:r w:rsidRPr="00616C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Президент Адвокатской палаты </w:t>
      </w:r>
    </w:p>
    <w:p w:rsidR="00784F85" w:rsidRPr="00616C00" w:rsidRDefault="00784F85" w:rsidP="00BB6F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6C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Пензенской области                                                              Н.В. Демерзов</w:t>
      </w:r>
    </w:p>
    <w:sectPr w:rsidR="00784F85" w:rsidRPr="00616C00" w:rsidSect="00750454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F85" w:rsidRDefault="00784F85">
      <w:r>
        <w:separator/>
      </w:r>
    </w:p>
  </w:endnote>
  <w:endnote w:type="continuationSeparator" w:id="1">
    <w:p w:rsidR="00784F85" w:rsidRDefault="0078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85" w:rsidRDefault="00784F85" w:rsidP="00FE2E2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4F85" w:rsidRDefault="00784F85" w:rsidP="00820E1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F85" w:rsidRDefault="00784F85">
      <w:r>
        <w:separator/>
      </w:r>
    </w:p>
  </w:footnote>
  <w:footnote w:type="continuationSeparator" w:id="1">
    <w:p w:rsidR="00784F85" w:rsidRDefault="00784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415"/>
    <w:multiLevelType w:val="multilevel"/>
    <w:tmpl w:val="47D2961C"/>
    <w:lvl w:ilvl="0">
      <w:start w:val="1"/>
      <w:numFmt w:val="decimal"/>
      <w:lvlText w:val="8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D06320"/>
    <w:multiLevelType w:val="hybridMultilevel"/>
    <w:tmpl w:val="E3DE404A"/>
    <w:lvl w:ilvl="0" w:tplc="C36C7C2E">
      <w:start w:val="9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15A89"/>
    <w:multiLevelType w:val="multilevel"/>
    <w:tmpl w:val="623AB95A"/>
    <w:lvl w:ilvl="0">
      <w:start w:val="1"/>
      <w:numFmt w:val="decimal"/>
      <w:lvlText w:val="%18.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47493D"/>
    <w:multiLevelType w:val="multilevel"/>
    <w:tmpl w:val="110A0A1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EB1709"/>
    <w:multiLevelType w:val="hybridMultilevel"/>
    <w:tmpl w:val="48BE37F6"/>
    <w:lvl w:ilvl="0" w:tplc="C492CF2A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259A40A7"/>
    <w:multiLevelType w:val="multilevel"/>
    <w:tmpl w:val="D652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5C5D"/>
    <w:multiLevelType w:val="hybridMultilevel"/>
    <w:tmpl w:val="1D3AA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027DE"/>
    <w:multiLevelType w:val="hybridMultilevel"/>
    <w:tmpl w:val="3C5AC77A"/>
    <w:lvl w:ilvl="0" w:tplc="1B222DF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0A5432D"/>
    <w:multiLevelType w:val="multilevel"/>
    <w:tmpl w:val="1FB4B074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FDF72E9"/>
    <w:multiLevelType w:val="multilevel"/>
    <w:tmpl w:val="7070159C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5A27A08"/>
    <w:multiLevelType w:val="multilevel"/>
    <w:tmpl w:val="7070159C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639066C"/>
    <w:multiLevelType w:val="multilevel"/>
    <w:tmpl w:val="9A204C5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E2D1E6F"/>
    <w:multiLevelType w:val="hybridMultilevel"/>
    <w:tmpl w:val="71E2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61FF1"/>
    <w:multiLevelType w:val="multilevel"/>
    <w:tmpl w:val="56DEDCD4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D0B0224"/>
    <w:multiLevelType w:val="multilevel"/>
    <w:tmpl w:val="9A204C50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12C7811"/>
    <w:multiLevelType w:val="hybridMultilevel"/>
    <w:tmpl w:val="013E2048"/>
    <w:lvl w:ilvl="0" w:tplc="9E8ABAA0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b/>
        <w:bCs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F2167"/>
    <w:multiLevelType w:val="multilevel"/>
    <w:tmpl w:val="7070159C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5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16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81"/>
    <w:rsid w:val="000073CC"/>
    <w:rsid w:val="000136E1"/>
    <w:rsid w:val="00014B37"/>
    <w:rsid w:val="00045FBF"/>
    <w:rsid w:val="000B634B"/>
    <w:rsid w:val="000D27BB"/>
    <w:rsid w:val="00113F86"/>
    <w:rsid w:val="001267D2"/>
    <w:rsid w:val="00130886"/>
    <w:rsid w:val="001367FB"/>
    <w:rsid w:val="00155B66"/>
    <w:rsid w:val="001724DD"/>
    <w:rsid w:val="001873C3"/>
    <w:rsid w:val="001C010D"/>
    <w:rsid w:val="002359A2"/>
    <w:rsid w:val="00247078"/>
    <w:rsid w:val="002847E8"/>
    <w:rsid w:val="002E5083"/>
    <w:rsid w:val="002F7F12"/>
    <w:rsid w:val="00317EE7"/>
    <w:rsid w:val="003611A5"/>
    <w:rsid w:val="00393A9D"/>
    <w:rsid w:val="003962EC"/>
    <w:rsid w:val="003D1C5B"/>
    <w:rsid w:val="003E119D"/>
    <w:rsid w:val="004023BF"/>
    <w:rsid w:val="004225E1"/>
    <w:rsid w:val="00426E95"/>
    <w:rsid w:val="004559AE"/>
    <w:rsid w:val="0045740D"/>
    <w:rsid w:val="00463FE8"/>
    <w:rsid w:val="00473EDF"/>
    <w:rsid w:val="004769FC"/>
    <w:rsid w:val="004C10F5"/>
    <w:rsid w:val="005061EF"/>
    <w:rsid w:val="0054091F"/>
    <w:rsid w:val="00543CAD"/>
    <w:rsid w:val="0055561C"/>
    <w:rsid w:val="0056098D"/>
    <w:rsid w:val="00572557"/>
    <w:rsid w:val="005868D7"/>
    <w:rsid w:val="005E39F6"/>
    <w:rsid w:val="00616C00"/>
    <w:rsid w:val="0062105B"/>
    <w:rsid w:val="0063141A"/>
    <w:rsid w:val="00632F26"/>
    <w:rsid w:val="00673A43"/>
    <w:rsid w:val="0068132D"/>
    <w:rsid w:val="006B107B"/>
    <w:rsid w:val="006C72ED"/>
    <w:rsid w:val="006C7604"/>
    <w:rsid w:val="006C7DA9"/>
    <w:rsid w:val="006D6B34"/>
    <w:rsid w:val="006F1CDE"/>
    <w:rsid w:val="006F3B1C"/>
    <w:rsid w:val="0071794C"/>
    <w:rsid w:val="0073146D"/>
    <w:rsid w:val="00741A1D"/>
    <w:rsid w:val="007457B3"/>
    <w:rsid w:val="00750454"/>
    <w:rsid w:val="0075182B"/>
    <w:rsid w:val="00774188"/>
    <w:rsid w:val="0078264D"/>
    <w:rsid w:val="00784F85"/>
    <w:rsid w:val="007B544F"/>
    <w:rsid w:val="008046A3"/>
    <w:rsid w:val="00804B0B"/>
    <w:rsid w:val="0081607A"/>
    <w:rsid w:val="00820E12"/>
    <w:rsid w:val="0083091C"/>
    <w:rsid w:val="0083717B"/>
    <w:rsid w:val="00860E91"/>
    <w:rsid w:val="008722AE"/>
    <w:rsid w:val="0088248F"/>
    <w:rsid w:val="008F4B16"/>
    <w:rsid w:val="00912BE8"/>
    <w:rsid w:val="009333C5"/>
    <w:rsid w:val="009D0EED"/>
    <w:rsid w:val="009F3FC5"/>
    <w:rsid w:val="009F5C86"/>
    <w:rsid w:val="00A0237A"/>
    <w:rsid w:val="00A16E25"/>
    <w:rsid w:val="00A72657"/>
    <w:rsid w:val="00A91FF2"/>
    <w:rsid w:val="00A94181"/>
    <w:rsid w:val="00AD56D0"/>
    <w:rsid w:val="00B16AE7"/>
    <w:rsid w:val="00B17BFB"/>
    <w:rsid w:val="00B85C83"/>
    <w:rsid w:val="00BA1E32"/>
    <w:rsid w:val="00BB6F75"/>
    <w:rsid w:val="00BE45EE"/>
    <w:rsid w:val="00BF755F"/>
    <w:rsid w:val="00BF7566"/>
    <w:rsid w:val="00C063CA"/>
    <w:rsid w:val="00C13E11"/>
    <w:rsid w:val="00C1457D"/>
    <w:rsid w:val="00C46C94"/>
    <w:rsid w:val="00C564FB"/>
    <w:rsid w:val="00C966CB"/>
    <w:rsid w:val="00CA7767"/>
    <w:rsid w:val="00CD3D23"/>
    <w:rsid w:val="00CE135D"/>
    <w:rsid w:val="00D033BA"/>
    <w:rsid w:val="00D3102E"/>
    <w:rsid w:val="00D832B0"/>
    <w:rsid w:val="00DC0663"/>
    <w:rsid w:val="00DD7489"/>
    <w:rsid w:val="00DE4D39"/>
    <w:rsid w:val="00DF2E0B"/>
    <w:rsid w:val="00E15561"/>
    <w:rsid w:val="00E43DDD"/>
    <w:rsid w:val="00E57302"/>
    <w:rsid w:val="00E73BA9"/>
    <w:rsid w:val="00EE4FA6"/>
    <w:rsid w:val="00F10806"/>
    <w:rsid w:val="00F25ED9"/>
    <w:rsid w:val="00F772F2"/>
    <w:rsid w:val="00F855A6"/>
    <w:rsid w:val="00FC34A2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7D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7F12"/>
    <w:rPr>
      <w:lang w:eastAsia="en-US"/>
    </w:rPr>
  </w:style>
  <w:style w:type="character" w:styleId="PageNumber">
    <w:name w:val="page number"/>
    <w:basedOn w:val="DefaultParagraphFont"/>
    <w:uiPriority w:val="99"/>
    <w:rsid w:val="006C7DA9"/>
  </w:style>
  <w:style w:type="paragraph" w:styleId="Header">
    <w:name w:val="header"/>
    <w:basedOn w:val="Normal"/>
    <w:link w:val="HeaderChar"/>
    <w:uiPriority w:val="99"/>
    <w:rsid w:val="006C7D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7F12"/>
    <w:rPr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16C0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47E8"/>
    <w:rPr>
      <w:lang w:eastAsia="en-US"/>
    </w:rPr>
  </w:style>
  <w:style w:type="character" w:customStyle="1" w:styleId="3">
    <w:name w:val="Знак Знак3"/>
    <w:basedOn w:val="DefaultParagraphFont"/>
    <w:uiPriority w:val="99"/>
    <w:rsid w:val="00616C00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16C00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43CAD"/>
    <w:pPr>
      <w:ind w:left="720"/>
    </w:pPr>
  </w:style>
  <w:style w:type="paragraph" w:styleId="BodyText">
    <w:name w:val="Body Text"/>
    <w:basedOn w:val="Normal"/>
    <w:link w:val="BodyTextChar1"/>
    <w:uiPriority w:val="99"/>
    <w:rsid w:val="00751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B37"/>
    <w:rPr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5182B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8</Pages>
  <Words>2682</Words>
  <Characters>15292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Пользователь Windows</dc:creator>
  <cp:keywords/>
  <dc:description/>
  <cp:lastModifiedBy>Пользователь Windows</cp:lastModifiedBy>
  <cp:revision>11</cp:revision>
  <cp:lastPrinted>2018-06-25T08:00:00Z</cp:lastPrinted>
  <dcterms:created xsi:type="dcterms:W3CDTF">2018-02-26T05:52:00Z</dcterms:created>
  <dcterms:modified xsi:type="dcterms:W3CDTF">2018-07-09T06:09:00Z</dcterms:modified>
</cp:coreProperties>
</file>